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F15A" w14:textId="77777777" w:rsidR="00167A18" w:rsidRDefault="00167A18" w:rsidP="001F14DB">
      <w:pPr>
        <w:jc w:val="both"/>
      </w:pPr>
      <w:r>
        <w:t>Cardo avanza en su misión de sostenibilidad</w:t>
      </w:r>
    </w:p>
    <w:p w14:paraId="359584B7" w14:textId="244343FA" w:rsidR="00167A18" w:rsidRDefault="00167A18" w:rsidP="001F14DB">
      <w:pPr>
        <w:jc w:val="both"/>
      </w:pPr>
      <w:r>
        <w:t>Desde que Cardo esbozó su compromiso de integrar los principios medioambientales, sociales y de gobernanza (ESG) en el núcleo de sus operaciones empresariales en 2021, una serie de cambios implementados han contribuido a una reducción del 40% en la Intensidad de Emisiones (IE) de la empresa en 2024 en comparación con 2021.</w:t>
      </w:r>
    </w:p>
    <w:p w14:paraId="61426CA0" w14:textId="77777777" w:rsidR="00167A18" w:rsidRDefault="00167A18" w:rsidP="001F14DB">
      <w:pPr>
        <w:jc w:val="both"/>
      </w:pPr>
      <w:r>
        <w:t>Desglosando los elementos desde la creación hasta el cliente, Cardo ha introducido cambios significativos. Cada retoque, cada caja, cada viaje. Todo por una misión mayor.</w:t>
      </w:r>
    </w:p>
    <w:p w14:paraId="6ED1EE55" w14:textId="77777777" w:rsidR="00167A18" w:rsidRDefault="00167A18" w:rsidP="001F14DB">
      <w:pPr>
        <w:jc w:val="both"/>
      </w:pPr>
      <w:r>
        <w:t>Una de las medidas clave ha sido la introducción de guías de producto digitales descargables en lugar de copias en papel en las cajas. Esto no sólo permite que las guías estén fácilmente disponibles, sino que también ha hecho que se utilice menos papel, lo que permite realizar envíos más ligeros y reducir las emisiones de CO2.</w:t>
      </w:r>
    </w:p>
    <w:p w14:paraId="559A2E9E" w14:textId="77777777" w:rsidR="00167A18" w:rsidRDefault="00167A18" w:rsidP="001F14DB">
      <w:pPr>
        <w:jc w:val="both"/>
      </w:pPr>
      <w:r>
        <w:t>Un nuevo diseño de caja compacta ha reducido el tamaño original de la caja en un tercio, lo que permite aumentar el número de unidades por palé en un 50%, reduciendo así el número de envíos necesarios. El envío de materias primas se ha reducido en un 77%, ya que las cajas presentan ahora un diseño plegable, lo que optimiza aún más la logística del transporte de mercancías y las emisiones asociadas a estas actividades.</w:t>
      </w:r>
    </w:p>
    <w:p w14:paraId="48198C9D" w14:textId="77777777" w:rsidR="00167A18" w:rsidRDefault="00167A18" w:rsidP="001F14DB">
      <w:pPr>
        <w:jc w:val="both"/>
      </w:pPr>
      <w:r>
        <w:t>Además de la eficiencia en el tamaño de las cajas, Cardo ha eliminado componentes de embalaje no esenciales, como el exceso de cartón y los insertos de plástico, y ha introducido materiales reciclables. Cada envase lleva ahora tinta de soja, creada a partir de fuentes renovables frente al petróleo tradicional.</w:t>
      </w:r>
    </w:p>
    <w:p w14:paraId="4D0CCCA5" w14:textId="62356364" w:rsidR="00167A18" w:rsidRDefault="00167A18" w:rsidP="001F14DB">
      <w:pPr>
        <w:jc w:val="both"/>
      </w:pPr>
      <w:r>
        <w:t>No sólo el transporte de los productos se ha hecho cada vez más respetuoso con el medio ambiente; el año pasado, Cardo decidió alquilar vehículos híbridos o eléctricos únicamente para las operaciones comerciales.</w:t>
      </w:r>
    </w:p>
    <w:p w14:paraId="33ACC1E9" w14:textId="77777777" w:rsidR="00167A18" w:rsidRDefault="00167A18" w:rsidP="001F14DB">
      <w:pPr>
        <w:jc w:val="both"/>
      </w:pPr>
      <w:r>
        <w:t>Mirando al futuro, Cardo planea más, con la intención de reducir las emisiones de Alcance 1 y 2* en un total del 38% para 2030 en comparación con 2021, lo que significa que la marca seguirá encontrando formas nuevas e innovadoras de alcanzar este objetivo.</w:t>
      </w:r>
    </w:p>
    <w:p w14:paraId="5A7DD018" w14:textId="77777777" w:rsidR="00167A18" w:rsidRDefault="00167A18" w:rsidP="001F14DB">
      <w:pPr>
        <w:jc w:val="both"/>
      </w:pPr>
      <w:r>
        <w:t>Adrian Farja, Vicepresidente de Operaciones e Ingeniería de Cardo Systems, Ltd., comenta: "Reconocemos la responsabilidad única que tenemos para con el medio ambiente, nuestros comités y nuestras partes interesadas. Nuestra misión de sostenibilidad refleja nuestra dedicación a crear un impacto positivo y contribuir a un futuro más sostenible.</w:t>
      </w:r>
    </w:p>
    <w:p w14:paraId="7FB6613F" w14:textId="77777777" w:rsidR="00167A18" w:rsidRDefault="00167A18" w:rsidP="001F14DB">
      <w:pPr>
        <w:jc w:val="both"/>
      </w:pPr>
      <w:r>
        <w:t>Mediante la integración de los principios ESG en nuestras operaciones diarias y en la toma de decisiones estratégicas, aspiramos a ser un ciudadano corporativo responsable, impulsando un cambio positivo en beneficio de las generaciones actuales y futuras."</w:t>
      </w:r>
    </w:p>
    <w:p w14:paraId="13AC8495" w14:textId="77777777" w:rsidR="00167A18" w:rsidRDefault="00167A18" w:rsidP="001F14DB">
      <w:pPr>
        <w:jc w:val="both"/>
      </w:pPr>
      <w:r>
        <w:t>Para más detalles sobre las prácticas de sostenibilidad de Cardo y sus objetivos futuros, visite el área dedicada de su sitio web - https://cardosystems.com/pages/esg</w:t>
      </w:r>
    </w:p>
    <w:p w14:paraId="782DBFB1" w14:textId="77777777" w:rsidR="00167A18" w:rsidRDefault="00167A18" w:rsidP="001F14DB">
      <w:pPr>
        <w:jc w:val="both"/>
      </w:pPr>
      <w:r>
        <w:t>*Alcance 1 - Emisiones directas liberadas por las operaciones de Cardo y Alcance 2 - Gases de efecto invernadero indirectos liberados por Cardo a través del consumo.</w:t>
      </w:r>
    </w:p>
    <w:p w14:paraId="4B99CC68" w14:textId="3F149819" w:rsidR="008B159C" w:rsidRDefault="008B159C" w:rsidP="00167A18"/>
    <w:sectPr w:rsidR="008B1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18"/>
    <w:rsid w:val="00167A18"/>
    <w:rsid w:val="001F14DB"/>
    <w:rsid w:val="0026354B"/>
    <w:rsid w:val="00424C25"/>
    <w:rsid w:val="008B159C"/>
    <w:rsid w:val="00B56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8466"/>
  <w15:chartTrackingRefBased/>
  <w15:docId w15:val="{39940D97-0827-4E8D-8A2B-B57FB497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7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7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7A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7A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7A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7A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7A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7A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7A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A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7A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7A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7A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7A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7A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7A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7A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7A18"/>
    <w:rPr>
      <w:rFonts w:eastAsiaTheme="majorEastAsia" w:cstheme="majorBidi"/>
      <w:color w:val="272727" w:themeColor="text1" w:themeTint="D8"/>
    </w:rPr>
  </w:style>
  <w:style w:type="paragraph" w:styleId="Ttulo">
    <w:name w:val="Title"/>
    <w:basedOn w:val="Normal"/>
    <w:next w:val="Normal"/>
    <w:link w:val="TtuloCar"/>
    <w:uiPriority w:val="10"/>
    <w:qFormat/>
    <w:rsid w:val="00167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7A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7A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7A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7A18"/>
    <w:pPr>
      <w:spacing w:before="160"/>
      <w:jc w:val="center"/>
    </w:pPr>
    <w:rPr>
      <w:i/>
      <w:iCs/>
      <w:color w:val="404040" w:themeColor="text1" w:themeTint="BF"/>
    </w:rPr>
  </w:style>
  <w:style w:type="character" w:customStyle="1" w:styleId="CitaCar">
    <w:name w:val="Cita Car"/>
    <w:basedOn w:val="Fuentedeprrafopredeter"/>
    <w:link w:val="Cita"/>
    <w:uiPriority w:val="29"/>
    <w:rsid w:val="00167A18"/>
    <w:rPr>
      <w:i/>
      <w:iCs/>
      <w:color w:val="404040" w:themeColor="text1" w:themeTint="BF"/>
    </w:rPr>
  </w:style>
  <w:style w:type="paragraph" w:styleId="Prrafodelista">
    <w:name w:val="List Paragraph"/>
    <w:basedOn w:val="Normal"/>
    <w:uiPriority w:val="34"/>
    <w:qFormat/>
    <w:rsid w:val="00167A18"/>
    <w:pPr>
      <w:ind w:left="720"/>
      <w:contextualSpacing/>
    </w:pPr>
  </w:style>
  <w:style w:type="character" w:styleId="nfasisintenso">
    <w:name w:val="Intense Emphasis"/>
    <w:basedOn w:val="Fuentedeprrafopredeter"/>
    <w:uiPriority w:val="21"/>
    <w:qFormat/>
    <w:rsid w:val="00167A18"/>
    <w:rPr>
      <w:i/>
      <w:iCs/>
      <w:color w:val="0F4761" w:themeColor="accent1" w:themeShade="BF"/>
    </w:rPr>
  </w:style>
  <w:style w:type="paragraph" w:styleId="Citadestacada">
    <w:name w:val="Intense Quote"/>
    <w:basedOn w:val="Normal"/>
    <w:next w:val="Normal"/>
    <w:link w:val="CitadestacadaCar"/>
    <w:uiPriority w:val="30"/>
    <w:qFormat/>
    <w:rsid w:val="00167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7A18"/>
    <w:rPr>
      <w:i/>
      <w:iCs/>
      <w:color w:val="0F4761" w:themeColor="accent1" w:themeShade="BF"/>
    </w:rPr>
  </w:style>
  <w:style w:type="character" w:styleId="Referenciaintensa">
    <w:name w:val="Intense Reference"/>
    <w:basedOn w:val="Fuentedeprrafopredeter"/>
    <w:uiPriority w:val="32"/>
    <w:qFormat/>
    <w:rsid w:val="00167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Rebeca Bayer</cp:lastModifiedBy>
  <cp:revision>4</cp:revision>
  <dcterms:created xsi:type="dcterms:W3CDTF">2025-06-20T09:16:00Z</dcterms:created>
  <dcterms:modified xsi:type="dcterms:W3CDTF">2025-06-20T09:17:00Z</dcterms:modified>
</cp:coreProperties>
</file>